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24E1DED1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364831">
        <w:rPr>
          <w:rFonts w:ascii="Verdana" w:hAnsi="Verdana"/>
          <w:sz w:val="22"/>
          <w:szCs w:val="22"/>
        </w:rPr>
        <w:t>23 June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781F7DDE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364831">
        <w:rPr>
          <w:rFonts w:ascii="Verdana" w:hAnsi="Verdana"/>
          <w:b/>
          <w:i/>
        </w:rPr>
        <w:t>30 June</w:t>
      </w:r>
      <w:r w:rsidR="00B97614">
        <w:rPr>
          <w:rFonts w:ascii="Verdana" w:hAnsi="Verdana"/>
          <w:b/>
          <w:i/>
        </w:rPr>
        <w:t xml:space="preserve"> </w:t>
      </w:r>
      <w:r w:rsidR="00F47D2A" w:rsidRPr="0019100B">
        <w:rPr>
          <w:rFonts w:ascii="Verdana" w:hAnsi="Verdana"/>
          <w:b/>
          <w:i/>
        </w:rPr>
        <w:t>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F8C875F" w14:textId="77777777" w:rsidR="0006068A" w:rsidRPr="0006068A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083B0D00" w:rsidR="009B1583" w:rsidRPr="00636BDD" w:rsidRDefault="009B1583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79122DA9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>26 May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496EA674" w14:textId="72E3D7ED" w:rsidR="0026604F" w:rsidRDefault="00A14719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Committees 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16 June 2022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2A846267" w:rsidR="007901E9" w:rsidRDefault="007901E9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0609FB53" w:rsidR="00C2096C" w:rsidRDefault="006F44AE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3D0821">
        <w:rPr>
          <w:rFonts w:ascii="Verdana" w:hAnsi="Verdana"/>
          <w:szCs w:val="24"/>
        </w:rPr>
        <w:t xml:space="preserve">.  </w:t>
      </w:r>
    </w:p>
    <w:p w14:paraId="47FB485D" w14:textId="56B83ADF" w:rsidR="00364831" w:rsidRDefault="00364831" w:rsidP="00F851B6">
      <w:pPr>
        <w:pStyle w:val="ListParagraph"/>
        <w:numPr>
          <w:ilvl w:val="0"/>
          <w:numId w:val="19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Events sub-committee</w:t>
      </w:r>
      <w:r w:rsidR="003C5F46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(KS)</w:t>
      </w:r>
    </w:p>
    <w:p w14:paraId="1D0E7BD2" w14:textId="74B74F48" w:rsidR="00364831" w:rsidRDefault="00364831" w:rsidP="00F851B6">
      <w:pPr>
        <w:pStyle w:val="ListParagraph"/>
        <w:numPr>
          <w:ilvl w:val="0"/>
          <w:numId w:val="19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Meeting at Donington Park/Donington Hall</w:t>
      </w:r>
      <w:r w:rsidR="003C5F46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(SAJ, MR, TS)</w:t>
      </w:r>
    </w:p>
    <w:p w14:paraId="38A40B40" w14:textId="5FE7C1E0" w:rsidR="00364831" w:rsidRDefault="00364831" w:rsidP="00F851B6">
      <w:pPr>
        <w:pStyle w:val="ListParagraph"/>
        <w:numPr>
          <w:ilvl w:val="0"/>
          <w:numId w:val="19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Towles Pastures/Shields Crescent – Strip of land to be transferred to the Parish Council</w:t>
      </w:r>
      <w:r w:rsidR="00F851B6">
        <w:rPr>
          <w:rFonts w:ascii="Verdana" w:hAnsi="Verdana"/>
          <w:szCs w:val="24"/>
        </w:rPr>
        <w:t xml:space="preserve"> / works to area progress report.  (BS)</w:t>
      </w:r>
    </w:p>
    <w:p w14:paraId="59058EF5" w14:textId="3983B488" w:rsidR="002D4430" w:rsidRDefault="002D4430" w:rsidP="00F851B6">
      <w:pPr>
        <w:pStyle w:val="ListParagraph"/>
        <w:numPr>
          <w:ilvl w:val="0"/>
          <w:numId w:val="19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Airport – ICC (AS)</w:t>
      </w:r>
    </w:p>
    <w:p w14:paraId="769E3D95" w14:textId="6942F56C" w:rsidR="003C5F46" w:rsidRPr="003C5F46" w:rsidRDefault="003C5F46" w:rsidP="00F851B6">
      <w:pPr>
        <w:pStyle w:val="ListParagraph"/>
        <w:numPr>
          <w:ilvl w:val="0"/>
          <w:numId w:val="19"/>
        </w:numPr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Annual report from Cllr T Pendleton</w:t>
      </w:r>
      <w:r w:rsidR="00603B48">
        <w:rPr>
          <w:rFonts w:ascii="Verdana" w:hAnsi="Verdana"/>
          <w:szCs w:val="24"/>
        </w:rPr>
        <w:t xml:space="preserve"> (LCC)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b/>
          <w:bCs/>
          <w:szCs w:val="24"/>
        </w:rPr>
        <w:t>Appx B</w:t>
      </w:r>
    </w:p>
    <w:p w14:paraId="4412F7E2" w14:textId="77777777" w:rsidR="003C5F46" w:rsidRDefault="003C5F46" w:rsidP="003C5F46">
      <w:pPr>
        <w:pStyle w:val="ListParagraph"/>
        <w:ind w:left="1134"/>
        <w:rPr>
          <w:rFonts w:ascii="Verdana" w:hAnsi="Verdana"/>
          <w:szCs w:val="24"/>
        </w:rPr>
      </w:pPr>
    </w:p>
    <w:p w14:paraId="076CF528" w14:textId="5CBC1979" w:rsidR="00A039BA" w:rsidRDefault="00746438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734737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5BCEA90B" w14:textId="6F0BF9F1" w:rsidR="00700844" w:rsidRDefault="00FF68E9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FF68E9">
        <w:rPr>
          <w:rFonts w:ascii="Verdana" w:hAnsi="Verdana"/>
          <w:szCs w:val="24"/>
        </w:rPr>
        <w:t>Campion Hill /Spittal Hill – Gas</w:t>
      </w:r>
      <w:r>
        <w:rPr>
          <w:rFonts w:ascii="Verdana" w:hAnsi="Verdana"/>
          <w:szCs w:val="24"/>
        </w:rPr>
        <w:t xml:space="preserve"> supply.  </w:t>
      </w:r>
      <w:r w:rsidR="00317F5D">
        <w:rPr>
          <w:rFonts w:ascii="Verdana" w:hAnsi="Verdana"/>
          <w:szCs w:val="24"/>
        </w:rPr>
        <w:t>Update report.</w:t>
      </w:r>
    </w:p>
    <w:p w14:paraId="40939A7E" w14:textId="5F7059D1" w:rsidR="00FF68E9" w:rsidRDefault="0070084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Spittal Hill development – Foul sewer drain works</w:t>
      </w:r>
      <w:r w:rsidR="00317F5D">
        <w:rPr>
          <w:rFonts w:ascii="Verdana" w:hAnsi="Verdana"/>
          <w:szCs w:val="24"/>
        </w:rPr>
        <w:t>.  Update report</w:t>
      </w:r>
      <w:r w:rsidR="004F04A2">
        <w:rPr>
          <w:rFonts w:ascii="Verdana" w:hAnsi="Verdana"/>
          <w:szCs w:val="24"/>
        </w:rPr>
        <w:t>.</w:t>
      </w:r>
      <w:r w:rsidR="00FF68E9">
        <w:rPr>
          <w:rFonts w:ascii="Verdana" w:hAnsi="Verdana"/>
          <w:szCs w:val="24"/>
        </w:rPr>
        <w:t xml:space="preserve"> </w:t>
      </w:r>
    </w:p>
    <w:p w14:paraId="52573BCB" w14:textId="77777777" w:rsidR="00105967" w:rsidRDefault="00105967" w:rsidP="00105967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Conferencing equipment donation from East Midlands Airport in lieu of room rent – Update report.</w:t>
      </w:r>
    </w:p>
    <w:p w14:paraId="779DC704" w14:textId="77777777" w:rsidR="00105967" w:rsidRDefault="00105967" w:rsidP="00105967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summer youth activities working in partnership with NWLDC.</w:t>
      </w:r>
    </w:p>
    <w:p w14:paraId="2EDF555B" w14:textId="39B868DC" w:rsidR="00E87499" w:rsidRDefault="00E87499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Example of in-house newsletter for circulation to</w:t>
      </w:r>
      <w:r w:rsidR="00CC372D">
        <w:rPr>
          <w:rFonts w:ascii="Verdana" w:hAnsi="Verdana"/>
          <w:szCs w:val="24"/>
        </w:rPr>
        <w:t xml:space="preserve"> residents</w:t>
      </w:r>
      <w:r>
        <w:rPr>
          <w:rFonts w:ascii="Verdana" w:hAnsi="Verdana"/>
          <w:szCs w:val="24"/>
        </w:rPr>
        <w:t xml:space="preserve"> </w:t>
      </w:r>
      <w:r w:rsidR="00CC372D">
        <w:rPr>
          <w:rFonts w:ascii="Verdana" w:hAnsi="Verdana"/>
          <w:szCs w:val="24"/>
        </w:rPr>
        <w:t xml:space="preserve">of Wakefield </w:t>
      </w:r>
      <w:r w:rsidR="003C5F46">
        <w:rPr>
          <w:rFonts w:ascii="Verdana" w:hAnsi="Verdana"/>
          <w:szCs w:val="24"/>
        </w:rPr>
        <w:t>C</w:t>
      </w:r>
      <w:r w:rsidR="00CC372D">
        <w:rPr>
          <w:rFonts w:ascii="Verdana" w:hAnsi="Verdana"/>
          <w:szCs w:val="24"/>
        </w:rPr>
        <w:t xml:space="preserve">ourt/Biggin areas, via the </w:t>
      </w:r>
      <w:r w:rsidR="002572D2">
        <w:rPr>
          <w:rFonts w:ascii="Verdana" w:hAnsi="Verdana"/>
          <w:szCs w:val="24"/>
        </w:rPr>
        <w:t>Volunteer</w:t>
      </w:r>
      <w:r w:rsidR="00CC372D">
        <w:rPr>
          <w:rFonts w:ascii="Verdana" w:hAnsi="Verdana"/>
          <w:szCs w:val="24"/>
        </w:rPr>
        <w:t xml:space="preserve"> Centre groups and to also make it available via </w:t>
      </w:r>
      <w:r w:rsidR="00182E9E">
        <w:rPr>
          <w:rFonts w:ascii="Verdana" w:hAnsi="Verdana"/>
          <w:szCs w:val="24"/>
        </w:rPr>
        <w:t>a QR code and the website.</w:t>
      </w:r>
      <w:r w:rsidR="009623C3">
        <w:rPr>
          <w:rFonts w:ascii="Verdana" w:hAnsi="Verdana"/>
          <w:szCs w:val="24"/>
        </w:rPr>
        <w:tab/>
      </w:r>
      <w:r w:rsidR="009623C3">
        <w:rPr>
          <w:rFonts w:ascii="Verdana" w:hAnsi="Verdana"/>
          <w:szCs w:val="24"/>
        </w:rPr>
        <w:tab/>
      </w:r>
      <w:r w:rsidR="009623C3">
        <w:rPr>
          <w:rFonts w:ascii="Verdana" w:hAnsi="Verdana"/>
          <w:szCs w:val="24"/>
        </w:rPr>
        <w:tab/>
      </w:r>
      <w:r w:rsidR="009623C3">
        <w:rPr>
          <w:rFonts w:ascii="Verdana" w:hAnsi="Verdana"/>
          <w:szCs w:val="24"/>
        </w:rPr>
        <w:tab/>
      </w:r>
      <w:r w:rsidR="009623C3">
        <w:rPr>
          <w:rFonts w:ascii="Verdana" w:hAnsi="Verdana"/>
          <w:b/>
          <w:bCs/>
          <w:szCs w:val="24"/>
        </w:rPr>
        <w:t>Appx C</w:t>
      </w:r>
      <w:r w:rsidR="00182E9E">
        <w:rPr>
          <w:rFonts w:ascii="Verdana" w:hAnsi="Verdana"/>
          <w:szCs w:val="24"/>
        </w:rPr>
        <w:t xml:space="preserve">  </w:t>
      </w:r>
    </w:p>
    <w:p w14:paraId="2E0E22AE" w14:textId="729B8860" w:rsidR="00105967" w:rsidRDefault="00105967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Proposal for utilising the services of PR company as agreed at the recent meeting</w:t>
      </w:r>
      <w:r w:rsidR="00182E9E">
        <w:rPr>
          <w:rFonts w:ascii="Verdana" w:hAnsi="Verdana"/>
          <w:szCs w:val="24"/>
        </w:rPr>
        <w:t>.</w:t>
      </w:r>
    </w:p>
    <w:p w14:paraId="43CCD740" w14:textId="6F91E2CF" w:rsidR="00182E9E" w:rsidRDefault="00182E9E" w:rsidP="00182E9E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Parish Laision meeting – Update report.</w:t>
      </w:r>
    </w:p>
    <w:p w14:paraId="4AB7136A" w14:textId="7049882B" w:rsidR="00182E9E" w:rsidRDefault="00182E9E" w:rsidP="00182E9E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CCTV installation for the village centre.  Update report.  </w:t>
      </w:r>
    </w:p>
    <w:p w14:paraId="45416176" w14:textId="77777777" w:rsidR="00A039BA" w:rsidRDefault="00A039BA" w:rsidP="00A039BA">
      <w:pPr>
        <w:pStyle w:val="ListParagraph"/>
        <w:rPr>
          <w:rFonts w:ascii="Verdana" w:hAnsi="Verdana"/>
          <w:szCs w:val="24"/>
        </w:rPr>
      </w:pPr>
    </w:p>
    <w:p w14:paraId="76FCD788" w14:textId="7FDDBF30" w:rsidR="004F04A2" w:rsidRDefault="004F04A2" w:rsidP="004F04A2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Village Hall and Moira Dale sports improvements.  </w:t>
      </w:r>
      <w:r>
        <w:rPr>
          <w:rFonts w:ascii="Verdana" w:hAnsi="Verdana"/>
          <w:szCs w:val="24"/>
        </w:rPr>
        <w:t xml:space="preserve">Following the recent tender process, </w:t>
      </w:r>
      <w:r w:rsidR="00FF6002">
        <w:rPr>
          <w:rFonts w:ascii="Verdana" w:hAnsi="Verdana"/>
          <w:szCs w:val="24"/>
        </w:rPr>
        <w:t xml:space="preserve">the </w:t>
      </w:r>
      <w:r>
        <w:rPr>
          <w:rFonts w:ascii="Verdana" w:hAnsi="Verdana"/>
          <w:szCs w:val="24"/>
        </w:rPr>
        <w:t>Parish Council is to consider the potential options available given the increased costs for the original plans for the site.</w:t>
      </w:r>
      <w:r w:rsidR="0009111D">
        <w:rPr>
          <w:rFonts w:ascii="Verdana" w:hAnsi="Verdana"/>
          <w:szCs w:val="24"/>
        </w:rPr>
        <w:t xml:space="preserve">  Report to follow.</w:t>
      </w:r>
    </w:p>
    <w:p w14:paraId="290D1C21" w14:textId="77777777" w:rsidR="004F04A2" w:rsidRDefault="004F04A2" w:rsidP="004F04A2">
      <w:pPr>
        <w:pStyle w:val="ListParagraph"/>
        <w:widowControl w:val="0"/>
        <w:rPr>
          <w:rFonts w:ascii="Verdana" w:hAnsi="Verdana"/>
          <w:szCs w:val="24"/>
        </w:rPr>
      </w:pPr>
    </w:p>
    <w:p w14:paraId="355F3E89" w14:textId="25C2463B" w:rsidR="00B45795" w:rsidRPr="00A039BA" w:rsidRDefault="00B45795" w:rsidP="00B45795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A039BA">
        <w:rPr>
          <w:rFonts w:ascii="Verdana" w:hAnsi="Verdana"/>
          <w:szCs w:val="24"/>
        </w:rPr>
        <w:t>Accounts</w:t>
      </w:r>
    </w:p>
    <w:p w14:paraId="21EEE596" w14:textId="2EF2F9AF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F851B6">
        <w:rPr>
          <w:rFonts w:ascii="Verdana" w:hAnsi="Verdana"/>
          <w:szCs w:val="24"/>
        </w:rPr>
        <w:t>June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F851B6">
        <w:rPr>
          <w:rFonts w:ascii="Verdana" w:hAnsi="Verdana"/>
          <w:szCs w:val="24"/>
        </w:rPr>
        <w:t>June</w:t>
      </w:r>
      <w:r w:rsidRPr="00636BDD">
        <w:rPr>
          <w:rFonts w:ascii="Verdana" w:hAnsi="Verdana"/>
          <w:szCs w:val="24"/>
        </w:rPr>
        <w:t>.</w:t>
      </w:r>
    </w:p>
    <w:p w14:paraId="64EA80D5" w14:textId="4B703408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F851B6">
        <w:rPr>
          <w:rFonts w:ascii="Verdana" w:hAnsi="Verdana"/>
          <w:szCs w:val="24"/>
        </w:rPr>
        <w:t>June</w:t>
      </w:r>
      <w:r w:rsidRPr="00636BDD">
        <w:rPr>
          <w:rFonts w:ascii="Verdana" w:hAnsi="Verdana"/>
          <w:szCs w:val="24"/>
        </w:rPr>
        <w:t>.</w:t>
      </w:r>
    </w:p>
    <w:p w14:paraId="3D14506E" w14:textId="3F49D416" w:rsidR="00B45795" w:rsidRDefault="00B45795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 w:rsidRPr="00A97896">
        <w:rPr>
          <w:rFonts w:ascii="Verdana" w:hAnsi="Verdana"/>
          <w:szCs w:val="24"/>
        </w:rPr>
        <w:t xml:space="preserve">To review and approve bank statements and bank reconciliation for </w:t>
      </w:r>
      <w:r w:rsidR="00F851B6">
        <w:rPr>
          <w:rFonts w:ascii="Verdana" w:hAnsi="Verdana"/>
          <w:szCs w:val="24"/>
        </w:rPr>
        <w:t>June</w:t>
      </w:r>
      <w:r w:rsidRPr="00A97896">
        <w:rPr>
          <w:rFonts w:ascii="Verdana" w:hAnsi="Verdana"/>
          <w:szCs w:val="24"/>
        </w:rPr>
        <w:t>.</w:t>
      </w:r>
    </w:p>
    <w:p w14:paraId="0E5A37D9" w14:textId="6BDF35FB" w:rsidR="004F04A2" w:rsidRDefault="004F04A2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confirm payments for annual subscription for PPL/PRS for all the parish council facilities.  </w:t>
      </w:r>
    </w:p>
    <w:p w14:paraId="17820E35" w14:textId="6DE62D1D" w:rsidR="004F04A2" w:rsidRDefault="004F04A2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subscription to the Rural Market Towns Group.</w:t>
      </w:r>
    </w:p>
    <w:p w14:paraId="325DA11B" w14:textId="355E19A9" w:rsidR="00E87499" w:rsidRDefault="00E87499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update and review the Parish Council’s bank mandate to include all councillors.  </w:t>
      </w:r>
    </w:p>
    <w:p w14:paraId="760B3AE3" w14:textId="04E6BA61" w:rsidR="00E87499" w:rsidRDefault="00E87499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a nominal increase in the Cemetery House chargeable rent in lieu of increased ground usage for storage of cars. </w:t>
      </w:r>
    </w:p>
    <w:p w14:paraId="2288E100" w14:textId="0B4837CD" w:rsidR="002572D2" w:rsidRDefault="002572D2" w:rsidP="00442FCA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approve the quote for building valuations for all parish council owned facilities to conclude with a report with individual reinstatement values.  </w:t>
      </w:r>
    </w:p>
    <w:bookmarkEnd w:id="0"/>
    <w:p w14:paraId="71E27D93" w14:textId="3A6214A5" w:rsidR="00DD106B" w:rsidRPr="003C6EDF" w:rsidRDefault="003E39F5" w:rsidP="005E3193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Verdana" w:hAnsi="Verdana"/>
          <w:szCs w:val="24"/>
        </w:rPr>
      </w:pPr>
      <w:r w:rsidRPr="003C6EDF">
        <w:rPr>
          <w:rFonts w:ascii="Verdana" w:hAnsi="Verdana"/>
          <w:szCs w:val="24"/>
        </w:rPr>
        <w:t>Planning A</w:t>
      </w:r>
      <w:r w:rsidR="00CE53A3" w:rsidRPr="003C6EDF">
        <w:rPr>
          <w:rFonts w:ascii="Verdana" w:hAnsi="Verdana"/>
          <w:szCs w:val="24"/>
        </w:rPr>
        <w:t xml:space="preserve">pplications </w:t>
      </w:r>
    </w:p>
    <w:p w14:paraId="3B75815F" w14:textId="0DC850A2" w:rsidR="00ED3516" w:rsidRPr="007C4BA0" w:rsidRDefault="000319EA" w:rsidP="00B9666F">
      <w:pPr>
        <w:pStyle w:val="ListParagraph"/>
        <w:widowControl w:val="0"/>
        <w:numPr>
          <w:ilvl w:val="0"/>
          <w:numId w:val="5"/>
        </w:numPr>
        <w:ind w:left="1134"/>
        <w:rPr>
          <w:rFonts w:ascii="Verdana" w:hAnsi="Verdana"/>
          <w:szCs w:val="24"/>
        </w:rPr>
      </w:pPr>
      <w:r w:rsidRPr="007C4BA0">
        <w:rPr>
          <w:rFonts w:ascii="Verdana" w:hAnsi="Verdana"/>
          <w:szCs w:val="24"/>
        </w:rPr>
        <w:t xml:space="preserve">To consider plans received for </w:t>
      </w:r>
      <w:r w:rsidR="0026604F">
        <w:rPr>
          <w:rFonts w:ascii="Verdana" w:hAnsi="Verdana"/>
          <w:szCs w:val="24"/>
        </w:rPr>
        <w:t>June</w:t>
      </w:r>
      <w:r w:rsidRPr="007C4BA0">
        <w:rPr>
          <w:rFonts w:ascii="Verdana" w:hAnsi="Verdana"/>
          <w:szCs w:val="24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982"/>
        <w:gridCol w:w="2691"/>
        <w:gridCol w:w="5670"/>
      </w:tblGrid>
      <w:tr w:rsidR="00510376" w:rsidRPr="00510376" w14:paraId="4C784315" w14:textId="77777777" w:rsidTr="00143079">
        <w:trPr>
          <w:trHeight w:val="199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8215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22/00938/EAS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0A31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Phase 2, East Midlands Gateway Development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B3DF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Scoping Opinion under the Town and Country Planning (Environmental Impact Assessment) Regulations 2017 in respect of the development of a logistics/industrial park (use class B2 and B8), with ancillary offices and associated parking, highway infrastructure and landscaping</w:t>
            </w:r>
          </w:p>
        </w:tc>
      </w:tr>
      <w:tr w:rsidR="00510376" w:rsidRPr="00510376" w14:paraId="45CC8380" w14:textId="77777777" w:rsidTr="00143079">
        <w:trPr>
          <w:trHeight w:val="6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6B00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22/00932/FUL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A7D5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 Meadow Crescent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5F23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</w:t>
            </w:r>
          </w:p>
        </w:tc>
      </w:tr>
      <w:tr w:rsidR="00510376" w:rsidRPr="00510376" w14:paraId="2807622F" w14:textId="77777777" w:rsidTr="00182E9E">
        <w:trPr>
          <w:trHeight w:val="129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B1C5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22/00967/TCA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BE77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4 Apiary Gate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A449" w14:textId="6AEF3EEA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 xml:space="preserve">Fell 1 no. cherry tree and 1 no. conifer tree.  Reduce 1 no. holly tree by </w:t>
            </w: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approximately</w:t>
            </w: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 xml:space="preserve"> 1/2 metre including minor reshape (Unprotected trees in a conservation area)</w:t>
            </w:r>
          </w:p>
        </w:tc>
      </w:tr>
      <w:tr w:rsidR="00510376" w:rsidRPr="00510376" w14:paraId="30DA43A1" w14:textId="77777777" w:rsidTr="00182E9E">
        <w:trPr>
          <w:trHeight w:val="97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A80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lastRenderedPageBreak/>
              <w:t>21/0202//ADC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A788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Spar shop, old Library building, Delven Lane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EDBE" w14:textId="724EFD64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Installation of </w:t>
            </w: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various</w:t>
            </w: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non-</w:t>
            </w: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illuminated</w:t>
            </w: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signage </w:t>
            </w:r>
          </w:p>
        </w:tc>
      </w:tr>
    </w:tbl>
    <w:p w14:paraId="45495922" w14:textId="77777777" w:rsidR="006139C5" w:rsidRPr="00633AC8" w:rsidRDefault="006139C5" w:rsidP="006139C5">
      <w:pPr>
        <w:pStyle w:val="ListParagraph"/>
        <w:ind w:left="284"/>
        <w:rPr>
          <w:rFonts w:ascii="Verdana" w:hAnsi="Verdana" w:cs="Arial"/>
          <w:szCs w:val="24"/>
        </w:rPr>
      </w:pPr>
    </w:p>
    <w:p w14:paraId="168F5196" w14:textId="2F969477" w:rsidR="00906914" w:rsidRPr="00040D85" w:rsidRDefault="00CE53A3" w:rsidP="00F55500">
      <w:pPr>
        <w:pStyle w:val="ListParagraph"/>
        <w:numPr>
          <w:ilvl w:val="0"/>
          <w:numId w:val="4"/>
        </w:numPr>
        <w:ind w:left="284" w:hanging="284"/>
        <w:rPr>
          <w:rFonts w:ascii="Verdana" w:hAnsi="Verdana" w:cs="Arial"/>
          <w:szCs w:val="24"/>
        </w:rPr>
      </w:pPr>
      <w:r w:rsidRPr="00040D85">
        <w:rPr>
          <w:rFonts w:ascii="Verdana" w:hAnsi="Verdana"/>
          <w:szCs w:val="24"/>
        </w:rPr>
        <w:t>Planning Permissions</w:t>
      </w:r>
    </w:p>
    <w:p w14:paraId="3E97ADAA" w14:textId="107EF0B4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>To receive planning permissions</w:t>
      </w:r>
      <w:r w:rsidR="00C70485">
        <w:rPr>
          <w:rFonts w:ascii="Verdana" w:hAnsi="Verdana"/>
          <w:szCs w:val="24"/>
        </w:rPr>
        <w:t>/Withdrawn notices</w:t>
      </w:r>
      <w:r w:rsidRPr="00636BDD">
        <w:rPr>
          <w:rFonts w:ascii="Verdana" w:hAnsi="Verdana"/>
          <w:szCs w:val="24"/>
        </w:rPr>
        <w:t xml:space="preserve"> received during </w:t>
      </w:r>
      <w:r w:rsidR="0026604F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400" w:type="dxa"/>
        <w:tblLook w:val="04A0" w:firstRow="1" w:lastRow="0" w:firstColumn="1" w:lastColumn="0" w:noHBand="0" w:noVBand="1"/>
      </w:tblPr>
      <w:tblGrid>
        <w:gridCol w:w="2244"/>
        <w:gridCol w:w="1762"/>
        <w:gridCol w:w="2981"/>
        <w:gridCol w:w="2051"/>
        <w:gridCol w:w="1362"/>
      </w:tblGrid>
      <w:tr w:rsidR="00510376" w:rsidRPr="00510376" w14:paraId="4FA2A60B" w14:textId="77777777" w:rsidTr="00510376">
        <w:trPr>
          <w:trHeight w:val="11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"/>
          <w:bookmarkEnd w:id="2"/>
          <w:p w14:paraId="10C1EA2A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22/00713/TCA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187C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49 Bondgate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34F9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Felling of 2 no. trees (Unprotected trees in a conservation area)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BE7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however CDPC would request both trees are replaced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4F6C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510376" w:rsidRPr="00510376" w14:paraId="1E736EFA" w14:textId="77777777" w:rsidTr="00510376">
        <w:trPr>
          <w:trHeight w:val="77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DC9A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22/00641/FUL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B9F1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87 Park Lane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1CA8" w14:textId="77777777" w:rsidR="00510376" w:rsidRPr="00510376" w:rsidRDefault="00510376" w:rsidP="00510376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szCs w:val="24"/>
                <w:lang w:val="en-US" w:eastAsia="en-US"/>
              </w:rPr>
              <w:t>Single storey garage extension including new roof over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2529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5E5A" w14:textId="77777777" w:rsidR="00510376" w:rsidRPr="00510376" w:rsidRDefault="00510376" w:rsidP="00510376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510376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6B3A0FD2" w14:textId="193AD516" w:rsidR="00EC1A81" w:rsidRPr="00656F2D" w:rsidRDefault="00EC1A81" w:rsidP="00656F2D">
      <w:pPr>
        <w:pStyle w:val="ListParagraph"/>
        <w:widowControl w:val="0"/>
        <w:rPr>
          <w:rFonts w:ascii="Verdana" w:hAnsi="Verdana"/>
          <w:b/>
          <w:szCs w:val="24"/>
        </w:rPr>
      </w:pPr>
    </w:p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1969F670" w14:textId="0D187F82" w:rsidR="00074363" w:rsidRDefault="00074363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26604F">
        <w:rPr>
          <w:rFonts w:ascii="Verdana" w:hAnsi="Verdana"/>
          <w:szCs w:val="24"/>
        </w:rPr>
        <w:t>28 July</w:t>
      </w:r>
      <w:r w:rsidR="007B2D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2022.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0AC659B7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26604F">
        <w:rPr>
          <w:rFonts w:ascii="Verdana" w:hAnsi="Verdana"/>
          <w:b/>
          <w:i/>
          <w:szCs w:val="24"/>
        </w:rPr>
        <w:t>June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26604F">
        <w:rPr>
          <w:rFonts w:ascii="Verdana" w:hAnsi="Verdana"/>
          <w:b/>
          <w:i/>
          <w:szCs w:val="24"/>
        </w:rPr>
        <w:t>C Hills</w:t>
      </w:r>
      <w:r w:rsidR="00A039BA">
        <w:rPr>
          <w:rFonts w:ascii="Verdana" w:hAnsi="Verdana"/>
          <w:b/>
          <w:i/>
          <w:szCs w:val="24"/>
        </w:rPr>
        <w:t xml:space="preserve"> and </w:t>
      </w:r>
      <w:r w:rsidR="0026604F">
        <w:rPr>
          <w:rFonts w:ascii="Verdana" w:hAnsi="Verdana"/>
          <w:b/>
          <w:i/>
          <w:szCs w:val="24"/>
        </w:rPr>
        <w:t xml:space="preserve">B O’Dowd </w:t>
      </w:r>
      <w:r w:rsidR="00A039BA">
        <w:rPr>
          <w:rFonts w:ascii="Verdana" w:hAnsi="Verdana"/>
          <w:b/>
          <w:i/>
          <w:szCs w:val="24"/>
        </w:rPr>
        <w:t>.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31BD3"/>
    <w:multiLevelType w:val="hybridMultilevel"/>
    <w:tmpl w:val="2506C430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637E"/>
    <w:multiLevelType w:val="hybridMultilevel"/>
    <w:tmpl w:val="E45E7602"/>
    <w:lvl w:ilvl="0" w:tplc="C3B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E6F20"/>
    <w:multiLevelType w:val="hybridMultilevel"/>
    <w:tmpl w:val="5AB42CC8"/>
    <w:lvl w:ilvl="0" w:tplc="3E5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4D7A159A"/>
    <w:multiLevelType w:val="hybridMultilevel"/>
    <w:tmpl w:val="3F006646"/>
    <w:lvl w:ilvl="0" w:tplc="6DB677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191450791">
    <w:abstractNumId w:val="8"/>
  </w:num>
  <w:num w:numId="3" w16cid:durableId="1372876085">
    <w:abstractNumId w:val="16"/>
  </w:num>
  <w:num w:numId="4" w16cid:durableId="2050839321">
    <w:abstractNumId w:val="5"/>
  </w:num>
  <w:num w:numId="5" w16cid:durableId="1199930174">
    <w:abstractNumId w:val="10"/>
  </w:num>
  <w:num w:numId="6" w16cid:durableId="1674917282">
    <w:abstractNumId w:val="4"/>
  </w:num>
  <w:num w:numId="7" w16cid:durableId="215968994">
    <w:abstractNumId w:val="3"/>
  </w:num>
  <w:num w:numId="8" w16cid:durableId="1843660282">
    <w:abstractNumId w:val="14"/>
  </w:num>
  <w:num w:numId="9" w16cid:durableId="1844126341">
    <w:abstractNumId w:val="17"/>
  </w:num>
  <w:num w:numId="10" w16cid:durableId="1635864716">
    <w:abstractNumId w:val="9"/>
  </w:num>
  <w:num w:numId="11" w16cid:durableId="232619288">
    <w:abstractNumId w:val="15"/>
  </w:num>
  <w:num w:numId="12" w16cid:durableId="1253900360">
    <w:abstractNumId w:val="19"/>
  </w:num>
  <w:num w:numId="13" w16cid:durableId="1569533338">
    <w:abstractNumId w:val="7"/>
  </w:num>
  <w:num w:numId="14" w16cid:durableId="1448543871">
    <w:abstractNumId w:val="2"/>
  </w:num>
  <w:num w:numId="15" w16cid:durableId="948393975">
    <w:abstractNumId w:val="12"/>
  </w:num>
  <w:num w:numId="16" w16cid:durableId="2079594889">
    <w:abstractNumId w:val="6"/>
  </w:num>
  <w:num w:numId="17" w16cid:durableId="261883181">
    <w:abstractNumId w:val="13"/>
  </w:num>
  <w:num w:numId="18" w16cid:durableId="1433819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51509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0376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12B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3C5D"/>
    <w:rsid w:val="00E34C28"/>
    <w:rsid w:val="00E36B72"/>
    <w:rsid w:val="00E40572"/>
    <w:rsid w:val="00E40D02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73</TotalTime>
  <Pages>3</Pages>
  <Words>680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2022-06-24T10:18:00Z</cp:lastPrinted>
  <dcterms:created xsi:type="dcterms:W3CDTF">2022-06-24T10:18:00Z</dcterms:created>
  <dcterms:modified xsi:type="dcterms:W3CDTF">2022-06-24T14:21:00Z</dcterms:modified>
</cp:coreProperties>
</file>